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2C0A96" w:rsidRDefault="004D4FD5" w:rsidP="00AD1DC9">
      <w:pPr>
        <w:jc w:val="center"/>
        <w:outlineLvl w:val="0"/>
        <w:rPr>
          <w:b/>
          <w:color w:val="000000"/>
          <w:sz w:val="18"/>
          <w:szCs w:val="18"/>
          <w:vertAlign w:val="subscript"/>
        </w:rPr>
      </w:pPr>
      <w:r w:rsidRPr="002C0A96">
        <w:rPr>
          <w:b/>
          <w:color w:val="000000"/>
          <w:sz w:val="18"/>
          <w:szCs w:val="18"/>
          <w:vertAlign w:val="subscript"/>
        </w:rPr>
        <w:t xml:space="preserve">Lake City </w:t>
      </w:r>
      <w:r w:rsidR="00AD1DC9" w:rsidRPr="002C0A96">
        <w:rPr>
          <w:b/>
          <w:color w:val="000000"/>
          <w:sz w:val="18"/>
          <w:szCs w:val="18"/>
          <w:vertAlign w:val="subscript"/>
        </w:rPr>
        <w:t>Council Proceedings</w:t>
      </w:r>
    </w:p>
    <w:p w:rsidR="00AD1DC9" w:rsidRPr="002C0A96" w:rsidRDefault="002B245B" w:rsidP="00AD1DC9">
      <w:pPr>
        <w:jc w:val="center"/>
        <w:outlineLvl w:val="0"/>
        <w:rPr>
          <w:b/>
          <w:color w:val="000000"/>
          <w:sz w:val="18"/>
          <w:szCs w:val="18"/>
          <w:vertAlign w:val="subscript"/>
        </w:rPr>
      </w:pPr>
      <w:r w:rsidRPr="002C0A96">
        <w:rPr>
          <w:b/>
          <w:color w:val="000000"/>
          <w:sz w:val="18"/>
          <w:szCs w:val="18"/>
          <w:vertAlign w:val="subscript"/>
        </w:rPr>
        <w:t>February 20</w:t>
      </w:r>
      <w:r w:rsidR="00BD7880" w:rsidRPr="002C0A96">
        <w:rPr>
          <w:b/>
          <w:color w:val="000000"/>
          <w:sz w:val="18"/>
          <w:szCs w:val="18"/>
          <w:vertAlign w:val="subscript"/>
        </w:rPr>
        <w:t>, 2017</w:t>
      </w:r>
    </w:p>
    <w:p w:rsidR="00AD1DC9" w:rsidRPr="002C0A96" w:rsidRDefault="00AD1DC9" w:rsidP="00AD1DC9">
      <w:pPr>
        <w:jc w:val="center"/>
        <w:outlineLvl w:val="0"/>
        <w:rPr>
          <w:color w:val="000000"/>
          <w:sz w:val="18"/>
          <w:szCs w:val="18"/>
          <w:vertAlign w:val="subscript"/>
        </w:rPr>
      </w:pPr>
    </w:p>
    <w:p w:rsidR="00B72F1A" w:rsidRPr="006E5033" w:rsidRDefault="00CA237F" w:rsidP="00AD1DC9">
      <w:pPr>
        <w:rPr>
          <w:color w:val="000000"/>
          <w:sz w:val="18"/>
          <w:szCs w:val="18"/>
        </w:rPr>
      </w:pPr>
      <w:r w:rsidRPr="006E5033">
        <w:rPr>
          <w:color w:val="000000"/>
          <w:sz w:val="18"/>
          <w:szCs w:val="18"/>
        </w:rPr>
        <w:t xml:space="preserve">The City Council </w:t>
      </w:r>
      <w:r w:rsidR="00015B2D" w:rsidRPr="006E5033">
        <w:rPr>
          <w:color w:val="000000"/>
          <w:sz w:val="18"/>
          <w:szCs w:val="18"/>
        </w:rPr>
        <w:t>of Lake C</w:t>
      </w:r>
      <w:r w:rsidR="00970A4C" w:rsidRPr="006E5033">
        <w:rPr>
          <w:color w:val="000000"/>
          <w:sz w:val="18"/>
          <w:szCs w:val="18"/>
        </w:rPr>
        <w:t>ity, Iowa met in regular</w:t>
      </w:r>
      <w:r w:rsidRPr="006E5033">
        <w:rPr>
          <w:color w:val="000000"/>
          <w:sz w:val="18"/>
          <w:szCs w:val="18"/>
        </w:rPr>
        <w:t xml:space="preserve"> session with </w:t>
      </w:r>
      <w:r w:rsidR="00127010" w:rsidRPr="006E5033">
        <w:rPr>
          <w:color w:val="000000"/>
          <w:sz w:val="18"/>
          <w:szCs w:val="18"/>
        </w:rPr>
        <w:t xml:space="preserve">Mayor </w:t>
      </w:r>
      <w:r w:rsidR="002B245B" w:rsidRPr="006E5033">
        <w:rPr>
          <w:color w:val="000000"/>
          <w:sz w:val="18"/>
          <w:szCs w:val="18"/>
        </w:rPr>
        <w:t>Holm</w:t>
      </w:r>
      <w:r w:rsidRPr="006E5033">
        <w:rPr>
          <w:color w:val="000000"/>
          <w:sz w:val="18"/>
          <w:szCs w:val="18"/>
        </w:rPr>
        <w:t xml:space="preserve"> presiding and</w:t>
      </w:r>
      <w:r w:rsidR="00AD1DC9" w:rsidRPr="006E5033">
        <w:rPr>
          <w:color w:val="000000"/>
          <w:sz w:val="18"/>
          <w:szCs w:val="18"/>
        </w:rPr>
        <w:t xml:space="preserve"> the f</w:t>
      </w:r>
      <w:r w:rsidR="00DD7740" w:rsidRPr="006E5033">
        <w:rPr>
          <w:color w:val="000000"/>
          <w:sz w:val="18"/>
          <w:szCs w:val="18"/>
        </w:rPr>
        <w:t>ollowing members present:</w:t>
      </w:r>
      <w:r w:rsidR="008476E0" w:rsidRPr="006E5033">
        <w:rPr>
          <w:color w:val="000000"/>
          <w:sz w:val="18"/>
          <w:szCs w:val="18"/>
        </w:rPr>
        <w:t xml:space="preserve"> </w:t>
      </w:r>
      <w:r w:rsidR="002B245B" w:rsidRPr="006E5033">
        <w:rPr>
          <w:color w:val="000000"/>
          <w:sz w:val="18"/>
          <w:szCs w:val="18"/>
        </w:rPr>
        <w:t>Bellinghausen, Snyder,</w:t>
      </w:r>
      <w:r w:rsidR="00780321" w:rsidRPr="006E5033">
        <w:rPr>
          <w:color w:val="000000"/>
          <w:sz w:val="18"/>
          <w:szCs w:val="18"/>
        </w:rPr>
        <w:t xml:space="preserve"> S</w:t>
      </w:r>
      <w:r w:rsidR="00FF7C2D" w:rsidRPr="006E5033">
        <w:rPr>
          <w:color w:val="000000"/>
          <w:sz w:val="18"/>
          <w:szCs w:val="18"/>
        </w:rPr>
        <w:t>chleisman, and Filmer</w:t>
      </w:r>
      <w:r w:rsidR="00DE7B3C" w:rsidRPr="006E5033">
        <w:rPr>
          <w:color w:val="000000"/>
          <w:sz w:val="18"/>
          <w:szCs w:val="18"/>
        </w:rPr>
        <w:t xml:space="preserve">, </w:t>
      </w:r>
      <w:r w:rsidR="002B245B" w:rsidRPr="006E5033">
        <w:rPr>
          <w:color w:val="000000"/>
          <w:sz w:val="18"/>
          <w:szCs w:val="18"/>
        </w:rPr>
        <w:t>Absent: Green</w:t>
      </w:r>
      <w:r w:rsidR="00BD07A7" w:rsidRPr="006E5033">
        <w:rPr>
          <w:color w:val="000000"/>
          <w:sz w:val="18"/>
          <w:szCs w:val="18"/>
        </w:rPr>
        <w:t xml:space="preserve">, </w:t>
      </w:r>
      <w:r w:rsidR="00DE7B3C" w:rsidRPr="006E5033">
        <w:rPr>
          <w:i/>
          <w:color w:val="000000"/>
          <w:sz w:val="18"/>
          <w:szCs w:val="18"/>
        </w:rPr>
        <w:t>Pledge</w:t>
      </w:r>
      <w:r w:rsidR="00AD1DC9" w:rsidRPr="006E5033">
        <w:rPr>
          <w:i/>
          <w:color w:val="000000"/>
          <w:sz w:val="18"/>
          <w:szCs w:val="18"/>
        </w:rPr>
        <w:t xml:space="preserve"> of Allegiance</w:t>
      </w:r>
      <w:r w:rsidR="00AD1DC9" w:rsidRPr="006E5033">
        <w:rPr>
          <w:color w:val="000000"/>
          <w:sz w:val="18"/>
          <w:szCs w:val="18"/>
        </w:rPr>
        <w:t xml:space="preserve"> was recited.  </w:t>
      </w:r>
    </w:p>
    <w:p w:rsidR="00FF7C2D" w:rsidRPr="006E5033" w:rsidRDefault="00FF7C2D" w:rsidP="00AD1DC9">
      <w:pPr>
        <w:rPr>
          <w:color w:val="000000"/>
          <w:sz w:val="18"/>
          <w:szCs w:val="18"/>
        </w:rPr>
      </w:pPr>
    </w:p>
    <w:p w:rsidR="00FF7C2D" w:rsidRPr="006E5033" w:rsidRDefault="00CC14DD" w:rsidP="00AD1DC9">
      <w:pPr>
        <w:rPr>
          <w:color w:val="000000"/>
          <w:sz w:val="18"/>
          <w:szCs w:val="18"/>
        </w:rPr>
      </w:pPr>
      <w:r w:rsidRPr="006E5033">
        <w:rPr>
          <w:color w:val="000000"/>
          <w:sz w:val="18"/>
          <w:szCs w:val="18"/>
        </w:rPr>
        <w:t>Justin Yarosevich and Jennifer Movall from Simmering-Cory began the joint meeting between the Planning and Zoning Committee and the City Council by giving a recap of the work they have been doing on updating the future Land Use Plan for Lake City. They the</w:t>
      </w:r>
      <w:r w:rsidR="00C36CED" w:rsidRPr="006E5033">
        <w:rPr>
          <w:color w:val="000000"/>
          <w:sz w:val="18"/>
          <w:szCs w:val="18"/>
        </w:rPr>
        <w:t>n asked for input from the P &amp; Z and City Council on how they felt the plan looked at that time. Simmering</w:t>
      </w:r>
      <w:r w:rsidR="00542116">
        <w:rPr>
          <w:color w:val="000000"/>
          <w:sz w:val="18"/>
          <w:szCs w:val="18"/>
        </w:rPr>
        <w:t>-Cary will be getting back to both parties</w:t>
      </w:r>
      <w:bookmarkStart w:id="0" w:name="_GoBack"/>
      <w:bookmarkEnd w:id="0"/>
      <w:r w:rsidR="00C36CED" w:rsidRPr="006E5033">
        <w:rPr>
          <w:color w:val="000000"/>
          <w:sz w:val="18"/>
          <w:szCs w:val="18"/>
        </w:rPr>
        <w:t xml:space="preserve"> with an updated map and the narrative part of the plan when it is finished.</w:t>
      </w:r>
    </w:p>
    <w:p w:rsidR="00D17B52" w:rsidRPr="006E5033" w:rsidRDefault="00D17B52" w:rsidP="00AD1DC9">
      <w:pPr>
        <w:rPr>
          <w:color w:val="000000"/>
          <w:sz w:val="18"/>
          <w:szCs w:val="18"/>
        </w:rPr>
      </w:pPr>
    </w:p>
    <w:p w:rsidR="00ED0DCA" w:rsidRPr="006E5033" w:rsidRDefault="00ED0DCA" w:rsidP="00AD1DC9">
      <w:pPr>
        <w:rPr>
          <w:color w:val="000000"/>
          <w:sz w:val="18"/>
          <w:szCs w:val="18"/>
        </w:rPr>
      </w:pPr>
    </w:p>
    <w:p w:rsidR="00391661" w:rsidRPr="006E5033" w:rsidRDefault="004D1859" w:rsidP="004D1859">
      <w:pPr>
        <w:tabs>
          <w:tab w:val="left" w:pos="3060"/>
          <w:tab w:val="decimal" w:pos="8100"/>
        </w:tabs>
        <w:rPr>
          <w:color w:val="000000"/>
          <w:sz w:val="18"/>
          <w:szCs w:val="18"/>
        </w:rPr>
      </w:pPr>
      <w:r w:rsidRPr="006E5033">
        <w:rPr>
          <w:color w:val="000000"/>
          <w:sz w:val="18"/>
          <w:szCs w:val="18"/>
        </w:rPr>
        <w:t>Motion by</w:t>
      </w:r>
      <w:r w:rsidR="00C36CED" w:rsidRPr="006E5033">
        <w:rPr>
          <w:color w:val="000000"/>
          <w:sz w:val="18"/>
          <w:szCs w:val="18"/>
        </w:rPr>
        <w:t xml:space="preserve"> Schleisman</w:t>
      </w:r>
      <w:r w:rsidR="00F14686" w:rsidRPr="006E5033">
        <w:rPr>
          <w:color w:val="000000"/>
          <w:sz w:val="18"/>
          <w:szCs w:val="18"/>
        </w:rPr>
        <w:t xml:space="preserve">, </w:t>
      </w:r>
      <w:r w:rsidRPr="006E5033">
        <w:rPr>
          <w:color w:val="000000"/>
          <w:sz w:val="18"/>
          <w:szCs w:val="18"/>
        </w:rPr>
        <w:t>second by</w:t>
      </w:r>
      <w:r w:rsidR="00F8533E" w:rsidRPr="006E5033">
        <w:rPr>
          <w:color w:val="000000"/>
          <w:sz w:val="18"/>
          <w:szCs w:val="18"/>
        </w:rPr>
        <w:t xml:space="preserve"> </w:t>
      </w:r>
      <w:r w:rsidR="00C36CED" w:rsidRPr="006E5033">
        <w:rPr>
          <w:color w:val="000000"/>
          <w:sz w:val="18"/>
          <w:szCs w:val="18"/>
        </w:rPr>
        <w:t>Filmer</w:t>
      </w:r>
      <w:r w:rsidR="00F14686" w:rsidRPr="006E5033">
        <w:rPr>
          <w:color w:val="000000"/>
          <w:sz w:val="18"/>
          <w:szCs w:val="18"/>
        </w:rPr>
        <w:t xml:space="preserve"> </w:t>
      </w:r>
      <w:r w:rsidRPr="006E5033">
        <w:rPr>
          <w:color w:val="000000"/>
          <w:sz w:val="18"/>
          <w:szCs w:val="18"/>
        </w:rPr>
        <w:t>to approve the consent agenda consisting</w:t>
      </w:r>
      <w:r w:rsidR="00C73537" w:rsidRPr="006E5033">
        <w:rPr>
          <w:color w:val="000000"/>
          <w:sz w:val="18"/>
          <w:szCs w:val="18"/>
        </w:rPr>
        <w:t xml:space="preserve"> of the agenda, claims list</w:t>
      </w:r>
      <w:r w:rsidR="000A77DE" w:rsidRPr="006E5033">
        <w:rPr>
          <w:color w:val="000000"/>
          <w:sz w:val="18"/>
          <w:szCs w:val="18"/>
        </w:rPr>
        <w:t xml:space="preserve"> below</w:t>
      </w:r>
      <w:r w:rsidR="00C73537" w:rsidRPr="006E5033">
        <w:rPr>
          <w:color w:val="000000"/>
          <w:sz w:val="18"/>
          <w:szCs w:val="18"/>
        </w:rPr>
        <w:t xml:space="preserve">, </w:t>
      </w:r>
      <w:r w:rsidRPr="006E5033">
        <w:rPr>
          <w:color w:val="000000"/>
          <w:sz w:val="18"/>
          <w:szCs w:val="18"/>
        </w:rPr>
        <w:t xml:space="preserve">minutes from the </w:t>
      </w:r>
      <w:r w:rsidR="00C36CED" w:rsidRPr="006E5033">
        <w:rPr>
          <w:color w:val="000000"/>
          <w:sz w:val="18"/>
          <w:szCs w:val="18"/>
        </w:rPr>
        <w:t>February 6, and February 15, 2017</w:t>
      </w:r>
      <w:r w:rsidR="00542116">
        <w:rPr>
          <w:color w:val="000000"/>
          <w:sz w:val="18"/>
          <w:szCs w:val="18"/>
        </w:rPr>
        <w:t xml:space="preserve"> </w:t>
      </w:r>
      <w:r w:rsidR="00CB1B75" w:rsidRPr="006E5033">
        <w:rPr>
          <w:color w:val="000000"/>
          <w:sz w:val="18"/>
          <w:szCs w:val="18"/>
        </w:rPr>
        <w:t>council meeting</w:t>
      </w:r>
      <w:r w:rsidR="00752DE2" w:rsidRPr="006E5033">
        <w:rPr>
          <w:color w:val="000000"/>
          <w:sz w:val="18"/>
          <w:szCs w:val="18"/>
        </w:rPr>
        <w:t>s</w:t>
      </w:r>
      <w:r w:rsidR="00CB1B75" w:rsidRPr="006E5033">
        <w:rPr>
          <w:color w:val="000000"/>
          <w:sz w:val="18"/>
          <w:szCs w:val="18"/>
        </w:rPr>
        <w:t>,</w:t>
      </w:r>
      <w:r w:rsidR="00270012" w:rsidRPr="006E5033">
        <w:rPr>
          <w:color w:val="000000"/>
          <w:sz w:val="18"/>
          <w:szCs w:val="18"/>
        </w:rPr>
        <w:t xml:space="preserve"> </w:t>
      </w:r>
      <w:r w:rsidR="00C36CED" w:rsidRPr="006E5033">
        <w:rPr>
          <w:color w:val="000000"/>
          <w:sz w:val="18"/>
          <w:szCs w:val="18"/>
        </w:rPr>
        <w:t>the Treasurer’s Report for January and approval of a Class C liquor Permit and Sunday sales for Casey’s General Store</w:t>
      </w:r>
      <w:r w:rsidR="00391661" w:rsidRPr="006E5033">
        <w:rPr>
          <w:color w:val="000000"/>
          <w:sz w:val="18"/>
          <w:szCs w:val="18"/>
        </w:rPr>
        <w:t>.</w:t>
      </w:r>
    </w:p>
    <w:tbl>
      <w:tblPr>
        <w:tblW w:w="13536" w:type="dxa"/>
        <w:tblInd w:w="93" w:type="dxa"/>
        <w:tblLook w:val="04A0" w:firstRow="1" w:lastRow="0" w:firstColumn="1" w:lastColumn="0" w:noHBand="0" w:noVBand="1"/>
      </w:tblPr>
      <w:tblGrid>
        <w:gridCol w:w="7796"/>
        <w:gridCol w:w="2700"/>
        <w:gridCol w:w="1120"/>
        <w:gridCol w:w="960"/>
        <w:gridCol w:w="960"/>
      </w:tblGrid>
      <w:tr w:rsidR="00E25E35" w:rsidRPr="006E5033" w:rsidTr="00A22802">
        <w:trPr>
          <w:trHeight w:val="1440"/>
        </w:trPr>
        <w:tc>
          <w:tcPr>
            <w:tcW w:w="7796" w:type="dxa"/>
            <w:tcBorders>
              <w:top w:val="nil"/>
              <w:left w:val="nil"/>
              <w:bottom w:val="nil"/>
              <w:right w:val="nil"/>
            </w:tcBorders>
            <w:shd w:val="clear" w:color="auto" w:fill="auto"/>
            <w:noWrap/>
            <w:vAlign w:val="bottom"/>
          </w:tcPr>
          <w:tbl>
            <w:tblPr>
              <w:tblW w:w="7580" w:type="dxa"/>
              <w:tblLook w:val="04A0" w:firstRow="1" w:lastRow="0" w:firstColumn="1" w:lastColumn="0" w:noHBand="0" w:noVBand="1"/>
            </w:tblPr>
            <w:tblGrid>
              <w:gridCol w:w="3760"/>
              <w:gridCol w:w="2700"/>
              <w:gridCol w:w="1120"/>
            </w:tblGrid>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b/>
                      <w:bCs/>
                      <w:color w:val="000000"/>
                      <w:sz w:val="18"/>
                      <w:szCs w:val="18"/>
                      <w:vertAlign w:val="subscript"/>
                    </w:rPr>
                  </w:pPr>
                  <w:r w:rsidRPr="006E5033">
                    <w:rPr>
                      <w:b/>
                      <w:bCs/>
                      <w:color w:val="000000"/>
                      <w:sz w:val="18"/>
                      <w:szCs w:val="18"/>
                      <w:vertAlign w:val="subscript"/>
                    </w:rPr>
                    <w:t>CLAIMS REPORT</w:t>
                  </w:r>
                </w:p>
              </w:tc>
              <w:tc>
                <w:tcPr>
                  <w:tcW w:w="2700" w:type="dxa"/>
                  <w:tcBorders>
                    <w:top w:val="nil"/>
                    <w:left w:val="nil"/>
                    <w:bottom w:val="nil"/>
                    <w:right w:val="nil"/>
                  </w:tcBorders>
                  <w:shd w:val="clear" w:color="auto" w:fill="auto"/>
                  <w:noWrap/>
                  <w:vAlign w:val="bottom"/>
                  <w:hideMark/>
                </w:tcPr>
                <w:p w:rsidR="00E1251E" w:rsidRPr="006E5033" w:rsidRDefault="00E1251E" w:rsidP="00295AD9">
                  <w:pPr>
                    <w:rPr>
                      <w:b/>
                      <w:bCs/>
                      <w:color w:val="000000"/>
                      <w:sz w:val="18"/>
                      <w:szCs w:val="18"/>
                      <w:vertAlign w:val="subscript"/>
                    </w:rPr>
                  </w:pPr>
                </w:p>
                <w:p w:rsidR="00295AD9" w:rsidRPr="006E5033" w:rsidRDefault="00295AD9" w:rsidP="00295AD9">
                  <w:pPr>
                    <w:rPr>
                      <w:b/>
                      <w:bCs/>
                      <w:color w:val="000000"/>
                      <w:sz w:val="18"/>
                      <w:szCs w:val="18"/>
                      <w:vertAlign w:val="subscript"/>
                    </w:rPr>
                  </w:pPr>
                </w:p>
                <w:p w:rsidR="00E1251E" w:rsidRPr="006E5033" w:rsidRDefault="00E1251E" w:rsidP="00295AD9">
                  <w:pPr>
                    <w:rPr>
                      <w:b/>
                      <w:bCs/>
                      <w:color w:val="000000"/>
                      <w:sz w:val="18"/>
                      <w:szCs w:val="18"/>
                      <w:vertAlign w:val="subscript"/>
                    </w:rPr>
                  </w:pPr>
                </w:p>
              </w:tc>
              <w:tc>
                <w:tcPr>
                  <w:tcW w:w="1120" w:type="dxa"/>
                  <w:tcBorders>
                    <w:top w:val="nil"/>
                    <w:left w:val="nil"/>
                    <w:bottom w:val="nil"/>
                    <w:right w:val="nil"/>
                  </w:tcBorders>
                  <w:shd w:val="clear" w:color="auto" w:fill="auto"/>
                  <w:noWrap/>
                  <w:vAlign w:val="bottom"/>
                  <w:hideMark/>
                </w:tcPr>
                <w:p w:rsidR="00295AD9" w:rsidRPr="006E5033" w:rsidRDefault="00295AD9" w:rsidP="00295AD9">
                  <w:pPr>
                    <w:rPr>
                      <w:b/>
                      <w:bCs/>
                      <w:color w:val="000000"/>
                      <w:sz w:val="18"/>
                      <w:szCs w:val="18"/>
                      <w:vertAlign w:val="subscript"/>
                    </w:rPr>
                  </w:pP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b/>
                      <w:bCs/>
                      <w:color w:val="000000"/>
                      <w:sz w:val="18"/>
                      <w:szCs w:val="18"/>
                      <w:vertAlign w:val="subscript"/>
                    </w:rPr>
                  </w:pPr>
                  <w:r w:rsidRPr="006E5033">
                    <w:rPr>
                      <w:b/>
                      <w:bCs/>
                      <w:color w:val="000000"/>
                      <w:sz w:val="18"/>
                      <w:szCs w:val="18"/>
                      <w:vertAlign w:val="subscript"/>
                    </w:rPr>
                    <w:t>VENDOR</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b/>
                      <w:bCs/>
                      <w:color w:val="000000"/>
                      <w:sz w:val="18"/>
                      <w:szCs w:val="18"/>
                      <w:vertAlign w:val="subscript"/>
                    </w:rPr>
                  </w:pPr>
                  <w:r w:rsidRPr="006E5033">
                    <w:rPr>
                      <w:b/>
                      <w:bCs/>
                      <w:color w:val="000000"/>
                      <w:sz w:val="18"/>
                      <w:szCs w:val="18"/>
                      <w:vertAlign w:val="subscript"/>
                    </w:rPr>
                    <w:t xml:space="preserve">REFERENCE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rPr>
                      <w:b/>
                      <w:bCs/>
                      <w:color w:val="000000"/>
                      <w:sz w:val="18"/>
                      <w:szCs w:val="18"/>
                      <w:vertAlign w:val="subscript"/>
                    </w:rPr>
                  </w:pPr>
                  <w:r w:rsidRPr="006E5033">
                    <w:rPr>
                      <w:b/>
                      <w:bCs/>
                      <w:color w:val="000000"/>
                      <w:sz w:val="18"/>
                      <w:szCs w:val="18"/>
                      <w:vertAlign w:val="subscript"/>
                    </w:rPr>
                    <w:t>AMOUNT</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ACCESS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COPIER LEASE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$391.17</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AL'S CORNER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FUEL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$23.50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BAKER &amp; TAYLOR INC.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BOOKS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$445.71</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CARROLL CO. SOLID WASTE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RECYCLING FEES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$116.70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CENTER POINT PUBLISHING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BOOKS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$43.14</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COMMUNITY OIL FLEET PROGRAM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FUEL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$1,235.36</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DAILY TIMES HEARLD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SUBSCRIPTION RENEWAL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$107.00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DOUG'S TIRE &amp; AUTO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IMPOUND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$75.00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EFTPS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FED/FICA TAX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$4,469.66</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GALE / CENGAGE LEARNING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BOOKS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$74.72</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BETSY GARDNER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DEPOSIT REFUND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$45.22</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GREENER BY THE YARD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SNOW REMOVAL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$50.00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GRUHN LAW FIRM, P.C.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LEGAL FEES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$2,262.50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HAMMER MEDICAL SUPPLY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STAIR LIFT MAINTENANCE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$90.00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KENDALL &amp; TAMI HOLM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YARD WASTE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$516.00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IOWA CENTRAL COMMUNITY COLLEGE</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ERIC WOOD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$150.00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L.C. PUBLIC LIBRARY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PETTY CASH/POSTAGE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$53.11</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 &amp; M CONSTRUCTION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MATERIALS &amp; LABOR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$149.22</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MACKE MOTORS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REPAIRS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$579.65</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MANGOLD TESTING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LAB ANALYSIS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$42.00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MID AMERICAN ENERGY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GAS/ELECTRIC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$6,700.29</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MIDAS COUNCIL OF GOVERNME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CDBG HOUSING GEN ADMIN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$7,942.81</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MUNICIPAL SUPPLY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SUPPLIES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$125.95</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BOBBY RIST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MEETING MEAL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$32.31</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SMITH &amp; LOVELESS, INC.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EQUIPMENT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$8,951.80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STEPHENSON CONST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REPAIRS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$767.96</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THOMPSON KELSEY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DEPOSIT REFUND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$200.00</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WELLMARK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HEALTH INSURANCE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$11,568.47</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WINDSTREAM IA COMMUNICATI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TELEPHONE/INTERNET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$515.34</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TOTAL ACCOUNTS PAYABLE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$47,724.59</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lastRenderedPageBreak/>
                    <w:t xml:space="preserve">PAYROLL CHECKS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$13,648.07</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 PAID    TOTAL *****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 </w:t>
                  </w:r>
                </w:p>
              </w:tc>
              <w:tc>
                <w:tcPr>
                  <w:tcW w:w="1120" w:type="dxa"/>
                  <w:tcBorders>
                    <w:top w:val="nil"/>
                    <w:left w:val="nil"/>
                    <w:bottom w:val="nil"/>
                    <w:right w:val="nil"/>
                  </w:tcBorders>
                  <w:shd w:val="clear" w:color="auto" w:fill="auto"/>
                  <w:noWrap/>
                  <w:vAlign w:val="bottom"/>
                  <w:hideMark/>
                </w:tcPr>
                <w:p w:rsidR="00295AD9" w:rsidRPr="006E5033" w:rsidRDefault="00295AD9" w:rsidP="00295AD9">
                  <w:pPr>
                    <w:jc w:val="right"/>
                    <w:rPr>
                      <w:color w:val="000000"/>
                      <w:sz w:val="18"/>
                      <w:szCs w:val="18"/>
                      <w:vertAlign w:val="subscript"/>
                    </w:rPr>
                  </w:pPr>
                  <w:r w:rsidRPr="006E5033">
                    <w:rPr>
                      <w:color w:val="000000"/>
                      <w:sz w:val="18"/>
                      <w:szCs w:val="18"/>
                      <w:vertAlign w:val="subscript"/>
                    </w:rPr>
                    <w:t>$61,372.66</w:t>
                  </w:r>
                </w:p>
              </w:tc>
            </w:tr>
            <w:tr w:rsidR="00295AD9" w:rsidRPr="006E5033" w:rsidTr="00295AD9">
              <w:trPr>
                <w:trHeight w:val="300"/>
              </w:trPr>
              <w:tc>
                <w:tcPr>
                  <w:tcW w:w="376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 REPORT TOTAL *****      </w:t>
                  </w:r>
                </w:p>
              </w:tc>
              <w:tc>
                <w:tcPr>
                  <w:tcW w:w="2700" w:type="dxa"/>
                  <w:tcBorders>
                    <w:top w:val="nil"/>
                    <w:left w:val="nil"/>
                    <w:bottom w:val="nil"/>
                    <w:right w:val="nil"/>
                  </w:tcBorders>
                  <w:shd w:val="clear" w:color="auto" w:fill="auto"/>
                  <w:noWrap/>
                  <w:vAlign w:val="bottom"/>
                  <w:hideMark/>
                </w:tcPr>
                <w:p w:rsidR="00295AD9" w:rsidRPr="006E5033" w:rsidRDefault="00295AD9" w:rsidP="00295AD9">
                  <w:pPr>
                    <w:rPr>
                      <w:color w:val="000000"/>
                      <w:sz w:val="18"/>
                      <w:szCs w:val="18"/>
                      <w:vertAlign w:val="subscript"/>
                    </w:rPr>
                  </w:pPr>
                  <w:r w:rsidRPr="006E5033">
                    <w:rPr>
                      <w:color w:val="000000"/>
                      <w:sz w:val="18"/>
                      <w:szCs w:val="18"/>
                      <w:vertAlign w:val="subscript"/>
                    </w:rPr>
                    <w:t xml:space="preserve"> </w:t>
                  </w:r>
                </w:p>
              </w:tc>
              <w:tc>
                <w:tcPr>
                  <w:tcW w:w="1120" w:type="dxa"/>
                  <w:tcBorders>
                    <w:top w:val="nil"/>
                    <w:left w:val="nil"/>
                    <w:bottom w:val="nil"/>
                    <w:right w:val="nil"/>
                  </w:tcBorders>
                  <w:shd w:val="clear" w:color="auto" w:fill="auto"/>
                  <w:noWrap/>
                  <w:vAlign w:val="bottom"/>
                  <w:hideMark/>
                </w:tcPr>
                <w:p w:rsidR="00D94A86" w:rsidRPr="006E5033" w:rsidRDefault="00295AD9" w:rsidP="00295AD9">
                  <w:pPr>
                    <w:jc w:val="right"/>
                    <w:rPr>
                      <w:color w:val="000000"/>
                      <w:sz w:val="18"/>
                      <w:szCs w:val="18"/>
                      <w:vertAlign w:val="subscript"/>
                    </w:rPr>
                  </w:pPr>
                  <w:r w:rsidRPr="006E5033">
                    <w:rPr>
                      <w:color w:val="000000"/>
                      <w:sz w:val="18"/>
                      <w:szCs w:val="18"/>
                      <w:vertAlign w:val="subscript"/>
                    </w:rPr>
                    <w:t>$61,372.66</w:t>
                  </w:r>
                </w:p>
              </w:tc>
            </w:tr>
            <w:tr w:rsidR="00F83979" w:rsidRPr="006E5033" w:rsidTr="00295AD9">
              <w:trPr>
                <w:trHeight w:val="300"/>
              </w:trPr>
              <w:tc>
                <w:tcPr>
                  <w:tcW w:w="3760" w:type="dxa"/>
                  <w:tcBorders>
                    <w:top w:val="nil"/>
                    <w:left w:val="nil"/>
                    <w:bottom w:val="nil"/>
                    <w:right w:val="nil"/>
                  </w:tcBorders>
                  <w:shd w:val="clear" w:color="auto" w:fill="auto"/>
                  <w:noWrap/>
                  <w:vAlign w:val="bottom"/>
                </w:tcPr>
                <w:p w:rsidR="00F83979" w:rsidRPr="006E5033" w:rsidRDefault="00F83979" w:rsidP="00295AD9">
                  <w:pPr>
                    <w:rPr>
                      <w:color w:val="000000"/>
                      <w:sz w:val="18"/>
                      <w:szCs w:val="18"/>
                    </w:rPr>
                  </w:pPr>
                </w:p>
              </w:tc>
              <w:tc>
                <w:tcPr>
                  <w:tcW w:w="2700" w:type="dxa"/>
                  <w:tcBorders>
                    <w:top w:val="nil"/>
                    <w:left w:val="nil"/>
                    <w:bottom w:val="nil"/>
                    <w:right w:val="nil"/>
                  </w:tcBorders>
                  <w:shd w:val="clear" w:color="auto" w:fill="auto"/>
                  <w:noWrap/>
                  <w:vAlign w:val="bottom"/>
                </w:tcPr>
                <w:p w:rsidR="00F83979" w:rsidRPr="006E5033" w:rsidRDefault="00F83979" w:rsidP="00295AD9">
                  <w:pPr>
                    <w:rPr>
                      <w:color w:val="000000"/>
                      <w:sz w:val="18"/>
                      <w:szCs w:val="18"/>
                    </w:rPr>
                  </w:pPr>
                </w:p>
              </w:tc>
              <w:tc>
                <w:tcPr>
                  <w:tcW w:w="1120" w:type="dxa"/>
                  <w:tcBorders>
                    <w:top w:val="nil"/>
                    <w:left w:val="nil"/>
                    <w:bottom w:val="nil"/>
                    <w:right w:val="nil"/>
                  </w:tcBorders>
                  <w:shd w:val="clear" w:color="auto" w:fill="auto"/>
                  <w:noWrap/>
                  <w:vAlign w:val="bottom"/>
                </w:tcPr>
                <w:p w:rsidR="00F83979" w:rsidRPr="006E5033" w:rsidRDefault="00F83979" w:rsidP="00295AD9">
                  <w:pPr>
                    <w:jc w:val="right"/>
                    <w:rPr>
                      <w:color w:val="000000"/>
                      <w:sz w:val="18"/>
                      <w:szCs w:val="18"/>
                    </w:rPr>
                  </w:pPr>
                </w:p>
              </w:tc>
            </w:tr>
          </w:tbl>
          <w:p w:rsidR="00E25E35" w:rsidRPr="006E5033" w:rsidRDefault="00E25E35" w:rsidP="00E25E35">
            <w:pPr>
              <w:rPr>
                <w:b/>
                <w:bCs/>
                <w:color w:val="000000"/>
                <w:sz w:val="18"/>
                <w:szCs w:val="18"/>
              </w:rPr>
            </w:pPr>
          </w:p>
        </w:tc>
        <w:tc>
          <w:tcPr>
            <w:tcW w:w="2700" w:type="dxa"/>
            <w:tcBorders>
              <w:top w:val="nil"/>
              <w:left w:val="nil"/>
              <w:bottom w:val="nil"/>
              <w:right w:val="nil"/>
            </w:tcBorders>
            <w:shd w:val="clear" w:color="auto" w:fill="auto"/>
            <w:noWrap/>
            <w:vAlign w:val="bottom"/>
          </w:tcPr>
          <w:p w:rsidR="00E25E35" w:rsidRPr="006E5033" w:rsidRDefault="00E25E35" w:rsidP="00E25E35">
            <w:pPr>
              <w:rPr>
                <w:b/>
                <w:bCs/>
                <w:color w:val="000000"/>
                <w:sz w:val="18"/>
                <w:szCs w:val="18"/>
              </w:rPr>
            </w:pPr>
          </w:p>
        </w:tc>
        <w:tc>
          <w:tcPr>
            <w:tcW w:w="1120" w:type="dxa"/>
            <w:tcBorders>
              <w:top w:val="nil"/>
              <w:left w:val="nil"/>
              <w:bottom w:val="nil"/>
              <w:right w:val="nil"/>
            </w:tcBorders>
            <w:shd w:val="clear" w:color="auto" w:fill="auto"/>
            <w:noWrap/>
            <w:vAlign w:val="bottom"/>
          </w:tcPr>
          <w:p w:rsidR="00E25E35" w:rsidRPr="006E5033" w:rsidRDefault="00E25E35" w:rsidP="00E25E35">
            <w:pPr>
              <w:rPr>
                <w:b/>
                <w:bCs/>
                <w:color w:val="000000"/>
                <w:sz w:val="18"/>
                <w:szCs w:val="18"/>
              </w:rPr>
            </w:pPr>
          </w:p>
        </w:tc>
        <w:tc>
          <w:tcPr>
            <w:tcW w:w="960" w:type="dxa"/>
            <w:tcBorders>
              <w:top w:val="nil"/>
              <w:left w:val="nil"/>
              <w:bottom w:val="nil"/>
              <w:right w:val="nil"/>
            </w:tcBorders>
            <w:shd w:val="clear" w:color="auto" w:fill="auto"/>
            <w:noWrap/>
            <w:vAlign w:val="bottom"/>
            <w:hideMark/>
          </w:tcPr>
          <w:p w:rsidR="00E25E35" w:rsidRPr="006E5033" w:rsidRDefault="00E25E35" w:rsidP="00E25E35">
            <w:pPr>
              <w:rPr>
                <w:color w:val="000000"/>
                <w:sz w:val="18"/>
                <w:szCs w:val="18"/>
              </w:rPr>
            </w:pPr>
          </w:p>
        </w:tc>
        <w:tc>
          <w:tcPr>
            <w:tcW w:w="960" w:type="dxa"/>
            <w:tcBorders>
              <w:top w:val="nil"/>
              <w:left w:val="nil"/>
              <w:bottom w:val="nil"/>
              <w:right w:val="nil"/>
            </w:tcBorders>
            <w:shd w:val="clear" w:color="auto" w:fill="auto"/>
            <w:noWrap/>
            <w:vAlign w:val="bottom"/>
            <w:hideMark/>
          </w:tcPr>
          <w:p w:rsidR="00E25E35" w:rsidRPr="006E5033" w:rsidRDefault="00E25E35" w:rsidP="00E25E35">
            <w:pPr>
              <w:rPr>
                <w:color w:val="000000"/>
                <w:sz w:val="18"/>
                <w:szCs w:val="18"/>
              </w:rPr>
            </w:pPr>
          </w:p>
        </w:tc>
      </w:tr>
      <w:tr w:rsidR="0066671C" w:rsidRPr="006E5033" w:rsidTr="0066671C">
        <w:trPr>
          <w:trHeight w:val="300"/>
        </w:trPr>
        <w:tc>
          <w:tcPr>
            <w:tcW w:w="7796" w:type="dxa"/>
            <w:tcBorders>
              <w:top w:val="nil"/>
              <w:left w:val="nil"/>
              <w:bottom w:val="nil"/>
              <w:right w:val="nil"/>
            </w:tcBorders>
            <w:shd w:val="clear" w:color="auto" w:fill="auto"/>
            <w:noWrap/>
            <w:vAlign w:val="bottom"/>
          </w:tcPr>
          <w:p w:rsidR="0066671C" w:rsidRPr="006E5033" w:rsidRDefault="0066671C" w:rsidP="005C64F4">
            <w:pPr>
              <w:rPr>
                <w:color w:val="000000"/>
                <w:sz w:val="18"/>
                <w:szCs w:val="18"/>
              </w:rPr>
            </w:pPr>
            <w:r w:rsidRPr="006E5033">
              <w:rPr>
                <w:color w:val="000000"/>
                <w:sz w:val="18"/>
                <w:szCs w:val="18"/>
              </w:rPr>
              <w:lastRenderedPageBreak/>
              <w:t xml:space="preserve">Motion by Bellinghausen, Second by Snyder to set </w:t>
            </w:r>
            <w:proofErr w:type="gramStart"/>
            <w:r w:rsidRPr="006E5033">
              <w:rPr>
                <w:color w:val="000000"/>
                <w:sz w:val="18"/>
                <w:szCs w:val="18"/>
              </w:rPr>
              <w:t>the 2017-18 Budget Hearing</w:t>
            </w:r>
            <w:proofErr w:type="gramEnd"/>
            <w:r w:rsidRPr="006E5033">
              <w:rPr>
                <w:color w:val="000000"/>
                <w:sz w:val="18"/>
                <w:szCs w:val="18"/>
              </w:rPr>
              <w:t xml:space="preserve"> for March 6, 2017 at 6:00 pm here at the City Hall Council Chambers. All</w:t>
            </w:r>
            <w:r w:rsidR="00BA1F0B" w:rsidRPr="006E5033">
              <w:rPr>
                <w:color w:val="000000"/>
                <w:sz w:val="18"/>
                <w:szCs w:val="18"/>
              </w:rPr>
              <w:t xml:space="preserve"> A</w:t>
            </w:r>
            <w:r w:rsidRPr="006E5033">
              <w:rPr>
                <w:color w:val="000000"/>
                <w:sz w:val="18"/>
                <w:szCs w:val="18"/>
              </w:rPr>
              <w:t>yes, MC.</w:t>
            </w:r>
          </w:p>
          <w:p w:rsidR="0066671C" w:rsidRPr="006E5033" w:rsidRDefault="0066671C" w:rsidP="005C64F4">
            <w:pPr>
              <w:rPr>
                <w:color w:val="000000"/>
                <w:sz w:val="18"/>
                <w:szCs w:val="18"/>
              </w:rPr>
            </w:pPr>
          </w:p>
          <w:p w:rsidR="0066671C" w:rsidRPr="006E5033" w:rsidRDefault="0066671C" w:rsidP="005C64F4">
            <w:pPr>
              <w:rPr>
                <w:color w:val="000000"/>
                <w:sz w:val="18"/>
                <w:szCs w:val="18"/>
              </w:rPr>
            </w:pPr>
            <w:r w:rsidRPr="006E5033">
              <w:rPr>
                <w:color w:val="000000"/>
                <w:sz w:val="18"/>
                <w:szCs w:val="18"/>
              </w:rPr>
              <w:t xml:space="preserve">Motion by Snyder, Second by Bellinghausen, to approve the road closure of Washington St between Center and Illinois for the Top Rail Saddle Club (provided there is adequate security) for a Beer garden </w:t>
            </w:r>
            <w:r w:rsidR="00BA1F0B" w:rsidRPr="006E5033">
              <w:rPr>
                <w:color w:val="000000"/>
                <w:sz w:val="18"/>
                <w:szCs w:val="18"/>
              </w:rPr>
              <w:t>during Western Days 2017. All A</w:t>
            </w:r>
            <w:r w:rsidRPr="006E5033">
              <w:rPr>
                <w:color w:val="000000"/>
                <w:sz w:val="18"/>
                <w:szCs w:val="18"/>
              </w:rPr>
              <w:t>yes, MC</w:t>
            </w:r>
          </w:p>
          <w:p w:rsidR="0066671C" w:rsidRPr="006E5033" w:rsidRDefault="0066671C" w:rsidP="005C64F4">
            <w:pPr>
              <w:rPr>
                <w:color w:val="000000"/>
                <w:sz w:val="18"/>
                <w:szCs w:val="18"/>
              </w:rPr>
            </w:pPr>
          </w:p>
          <w:p w:rsidR="0066671C" w:rsidRPr="006E5033" w:rsidRDefault="0066671C" w:rsidP="005C64F4">
            <w:pPr>
              <w:rPr>
                <w:color w:val="000000"/>
                <w:sz w:val="18"/>
                <w:szCs w:val="18"/>
              </w:rPr>
            </w:pPr>
            <w:r w:rsidRPr="006E5033">
              <w:rPr>
                <w:color w:val="000000"/>
                <w:sz w:val="18"/>
                <w:szCs w:val="18"/>
              </w:rPr>
              <w:t>Motion by Filmer, Second by Snyder to approve a fireworks display for the Top rail Saddle Club during Western Days 2017.</w:t>
            </w:r>
            <w:r w:rsidR="00BA1F0B" w:rsidRPr="006E5033">
              <w:rPr>
                <w:color w:val="000000"/>
                <w:sz w:val="18"/>
                <w:szCs w:val="18"/>
              </w:rPr>
              <w:t xml:space="preserve"> All Ayes, MC.</w:t>
            </w:r>
          </w:p>
          <w:p w:rsidR="00BA1F0B" w:rsidRPr="006E5033" w:rsidRDefault="00BA1F0B" w:rsidP="005C64F4">
            <w:pPr>
              <w:rPr>
                <w:color w:val="000000"/>
                <w:sz w:val="18"/>
                <w:szCs w:val="18"/>
              </w:rPr>
            </w:pPr>
          </w:p>
          <w:p w:rsidR="00BA1F0B" w:rsidRPr="006E5033" w:rsidRDefault="00BA1F0B" w:rsidP="005C64F4">
            <w:pPr>
              <w:rPr>
                <w:color w:val="000000"/>
                <w:sz w:val="18"/>
                <w:szCs w:val="18"/>
              </w:rPr>
            </w:pPr>
            <w:r w:rsidRPr="006E5033">
              <w:rPr>
                <w:color w:val="000000"/>
                <w:sz w:val="18"/>
                <w:szCs w:val="18"/>
              </w:rPr>
              <w:t>Motion by Bellinghausen, Second by Schleisman, to approve Chris Green to the Park Board, Tracy Wetter to Planning and Zoning, Bonnie Snyder to Planning and Zoning, and Tony Snyder to the Park Board. All Ayes, MC.</w:t>
            </w:r>
          </w:p>
          <w:p w:rsidR="00B805D3" w:rsidRPr="006E5033" w:rsidRDefault="00B805D3" w:rsidP="005C64F4">
            <w:pPr>
              <w:rPr>
                <w:color w:val="000000"/>
                <w:sz w:val="18"/>
                <w:szCs w:val="18"/>
              </w:rPr>
            </w:pPr>
          </w:p>
          <w:p w:rsidR="00B805D3" w:rsidRPr="006E5033" w:rsidRDefault="00B805D3" w:rsidP="005C64F4">
            <w:pPr>
              <w:rPr>
                <w:color w:val="000000"/>
                <w:sz w:val="18"/>
                <w:szCs w:val="18"/>
              </w:rPr>
            </w:pPr>
            <w:r w:rsidRPr="006E5033">
              <w:rPr>
                <w:color w:val="000000"/>
                <w:sz w:val="18"/>
                <w:szCs w:val="18"/>
              </w:rPr>
              <w:t>Motion by Filmer, Second by Snyder to approve a non-disclosure statement with a Third Party interested in certain matters regarding a potential business transaction with the City. All Ayes, MC.</w:t>
            </w:r>
          </w:p>
          <w:p w:rsidR="0066671C" w:rsidRPr="006E5033" w:rsidRDefault="0066671C" w:rsidP="005C64F4">
            <w:pPr>
              <w:rPr>
                <w:color w:val="000000"/>
                <w:sz w:val="18"/>
                <w:szCs w:val="18"/>
              </w:rPr>
            </w:pPr>
          </w:p>
          <w:p w:rsidR="004B70C1" w:rsidRPr="006E5033" w:rsidRDefault="004B70C1" w:rsidP="005C64F4">
            <w:pPr>
              <w:rPr>
                <w:color w:val="000000"/>
                <w:sz w:val="18"/>
                <w:szCs w:val="18"/>
              </w:rPr>
            </w:pPr>
            <w:r w:rsidRPr="006E5033">
              <w:rPr>
                <w:color w:val="000000"/>
                <w:sz w:val="18"/>
                <w:szCs w:val="18"/>
              </w:rPr>
              <w:t xml:space="preserve">CA gave an update on the North Raccoon Watershed Project, the sale of the Edna St property, the desire for the American Legion to update the lighting in the cemetery, and a business looking for warehouse space in Lake City. The council then spent time discussing budget priorities for the upcoming year. </w:t>
            </w:r>
          </w:p>
          <w:p w:rsidR="00060699" w:rsidRPr="006E5033" w:rsidRDefault="00060699" w:rsidP="005C64F4">
            <w:pPr>
              <w:rPr>
                <w:color w:val="000000"/>
                <w:sz w:val="18"/>
                <w:szCs w:val="18"/>
              </w:rPr>
            </w:pPr>
          </w:p>
          <w:p w:rsidR="00060699" w:rsidRPr="006E5033" w:rsidRDefault="00060699" w:rsidP="005C64F4">
            <w:pPr>
              <w:rPr>
                <w:color w:val="000000"/>
                <w:sz w:val="18"/>
                <w:szCs w:val="18"/>
              </w:rPr>
            </w:pPr>
            <w:r w:rsidRPr="006E5033">
              <w:rPr>
                <w:color w:val="000000"/>
                <w:sz w:val="18"/>
                <w:szCs w:val="18"/>
              </w:rPr>
              <w:t xml:space="preserve">There being no further business </w:t>
            </w:r>
            <w:r w:rsidR="00782FFD" w:rsidRPr="006E5033">
              <w:rPr>
                <w:color w:val="000000"/>
                <w:sz w:val="18"/>
                <w:szCs w:val="18"/>
              </w:rPr>
              <w:t>a motion was made by Bellinghausen, seconded by Snyder to adjourn at 6:55 pm. All Ayes, MC.</w:t>
            </w:r>
          </w:p>
          <w:p w:rsidR="00782FFD" w:rsidRPr="006E5033" w:rsidRDefault="00782FFD" w:rsidP="005C64F4">
            <w:pPr>
              <w:rPr>
                <w:color w:val="000000"/>
                <w:sz w:val="18"/>
                <w:szCs w:val="18"/>
              </w:rPr>
            </w:pPr>
          </w:p>
          <w:p w:rsidR="00782FFD" w:rsidRPr="006E5033" w:rsidRDefault="002B3315" w:rsidP="005C64F4">
            <w:pPr>
              <w:rPr>
                <w:color w:val="000000"/>
                <w:sz w:val="18"/>
                <w:szCs w:val="18"/>
              </w:rPr>
            </w:pPr>
            <w:r w:rsidRPr="006E5033">
              <w:rPr>
                <w:color w:val="000000"/>
                <w:sz w:val="18"/>
                <w:szCs w:val="18"/>
              </w:rPr>
              <w:t>__________________________________</w:t>
            </w:r>
            <w:r w:rsidR="005A3B8C" w:rsidRPr="006E5033">
              <w:rPr>
                <w:color w:val="000000"/>
                <w:sz w:val="18"/>
                <w:szCs w:val="18"/>
              </w:rPr>
              <w:t xml:space="preserve">                          _____________________________________</w:t>
            </w:r>
          </w:p>
          <w:p w:rsidR="005A3B8C" w:rsidRPr="006E5033" w:rsidRDefault="005A3B8C" w:rsidP="005C64F4">
            <w:pPr>
              <w:rPr>
                <w:color w:val="000000"/>
                <w:sz w:val="18"/>
                <w:szCs w:val="18"/>
              </w:rPr>
            </w:pPr>
            <w:r w:rsidRPr="006E5033">
              <w:rPr>
                <w:color w:val="000000"/>
                <w:sz w:val="18"/>
                <w:szCs w:val="18"/>
              </w:rPr>
              <w:t>Tyler Holm, Mayor                                                              Eric Wood, City Administrator/Clerk</w:t>
            </w:r>
          </w:p>
          <w:p w:rsidR="0066671C" w:rsidRPr="006E5033" w:rsidRDefault="0066671C" w:rsidP="005C64F4">
            <w:pPr>
              <w:rPr>
                <w:color w:val="000000"/>
                <w:sz w:val="18"/>
                <w:szCs w:val="18"/>
              </w:rPr>
            </w:pPr>
          </w:p>
        </w:tc>
        <w:tc>
          <w:tcPr>
            <w:tcW w:w="2700" w:type="dxa"/>
            <w:tcBorders>
              <w:top w:val="nil"/>
              <w:left w:val="nil"/>
              <w:bottom w:val="nil"/>
              <w:right w:val="nil"/>
            </w:tcBorders>
            <w:shd w:val="clear" w:color="auto" w:fill="auto"/>
            <w:noWrap/>
            <w:vAlign w:val="bottom"/>
          </w:tcPr>
          <w:p w:rsidR="0066671C" w:rsidRPr="006E5033" w:rsidRDefault="0066671C" w:rsidP="00E25E35">
            <w:pPr>
              <w:rPr>
                <w:b/>
                <w:bCs/>
                <w:color w:val="000000"/>
                <w:sz w:val="18"/>
                <w:szCs w:val="18"/>
              </w:rPr>
            </w:pPr>
          </w:p>
        </w:tc>
        <w:tc>
          <w:tcPr>
            <w:tcW w:w="1120" w:type="dxa"/>
            <w:tcBorders>
              <w:top w:val="nil"/>
              <w:left w:val="nil"/>
              <w:bottom w:val="nil"/>
              <w:right w:val="nil"/>
            </w:tcBorders>
            <w:shd w:val="clear" w:color="auto" w:fill="auto"/>
            <w:noWrap/>
            <w:vAlign w:val="bottom"/>
          </w:tcPr>
          <w:p w:rsidR="0066671C" w:rsidRPr="006E5033" w:rsidRDefault="0066671C" w:rsidP="00E25E35">
            <w:pPr>
              <w:rPr>
                <w:b/>
                <w:bCs/>
                <w:color w:val="000000"/>
                <w:sz w:val="18"/>
                <w:szCs w:val="18"/>
              </w:rPr>
            </w:pPr>
          </w:p>
        </w:tc>
        <w:tc>
          <w:tcPr>
            <w:tcW w:w="1920" w:type="dxa"/>
            <w:gridSpan w:val="2"/>
            <w:tcBorders>
              <w:top w:val="nil"/>
              <w:left w:val="nil"/>
              <w:bottom w:val="nil"/>
              <w:right w:val="nil"/>
            </w:tcBorders>
            <w:shd w:val="clear" w:color="auto" w:fill="auto"/>
            <w:noWrap/>
            <w:vAlign w:val="bottom"/>
            <w:hideMark/>
          </w:tcPr>
          <w:p w:rsidR="0066671C" w:rsidRPr="006E5033" w:rsidRDefault="0066671C" w:rsidP="00E25E35">
            <w:pPr>
              <w:rPr>
                <w:color w:val="000000"/>
                <w:sz w:val="18"/>
                <w:szCs w:val="18"/>
              </w:rPr>
            </w:pPr>
            <w:r w:rsidRPr="006E5033">
              <w:rPr>
                <w:color w:val="000000"/>
                <w:sz w:val="18"/>
                <w:szCs w:val="18"/>
              </w:rPr>
              <w:t xml:space="preserve">                             </w:t>
            </w:r>
          </w:p>
        </w:tc>
      </w:tr>
      <w:tr w:rsidR="0066671C" w:rsidRPr="006E5033" w:rsidTr="0066671C">
        <w:trPr>
          <w:trHeight w:val="300"/>
        </w:trPr>
        <w:tc>
          <w:tcPr>
            <w:tcW w:w="7796" w:type="dxa"/>
            <w:tcBorders>
              <w:top w:val="nil"/>
              <w:left w:val="nil"/>
              <w:bottom w:val="nil"/>
              <w:right w:val="nil"/>
            </w:tcBorders>
            <w:shd w:val="clear" w:color="auto" w:fill="auto"/>
            <w:noWrap/>
            <w:vAlign w:val="bottom"/>
          </w:tcPr>
          <w:p w:rsidR="0066671C" w:rsidRPr="006E5033" w:rsidRDefault="0066671C" w:rsidP="00E25E35">
            <w:pPr>
              <w:rPr>
                <w:color w:val="000000"/>
                <w:sz w:val="18"/>
                <w:szCs w:val="18"/>
              </w:rPr>
            </w:pPr>
          </w:p>
        </w:tc>
        <w:tc>
          <w:tcPr>
            <w:tcW w:w="2700" w:type="dxa"/>
            <w:tcBorders>
              <w:top w:val="nil"/>
              <w:left w:val="nil"/>
              <w:bottom w:val="nil"/>
              <w:right w:val="nil"/>
            </w:tcBorders>
            <w:shd w:val="clear" w:color="auto" w:fill="auto"/>
            <w:noWrap/>
            <w:vAlign w:val="bottom"/>
          </w:tcPr>
          <w:p w:rsidR="0066671C" w:rsidRPr="006E5033" w:rsidRDefault="0066671C" w:rsidP="00E25E35">
            <w:pPr>
              <w:rPr>
                <w:color w:val="000000"/>
                <w:sz w:val="18"/>
                <w:szCs w:val="18"/>
              </w:rPr>
            </w:pPr>
          </w:p>
        </w:tc>
        <w:tc>
          <w:tcPr>
            <w:tcW w:w="1120" w:type="dxa"/>
            <w:tcBorders>
              <w:top w:val="nil"/>
              <w:left w:val="nil"/>
              <w:bottom w:val="nil"/>
              <w:right w:val="nil"/>
            </w:tcBorders>
            <w:shd w:val="clear" w:color="auto" w:fill="auto"/>
            <w:noWrap/>
            <w:vAlign w:val="bottom"/>
          </w:tcPr>
          <w:p w:rsidR="0066671C" w:rsidRPr="006E5033" w:rsidRDefault="0066671C" w:rsidP="00E25E35">
            <w:pPr>
              <w:jc w:val="right"/>
              <w:rPr>
                <w:color w:val="000000"/>
                <w:sz w:val="18"/>
                <w:szCs w:val="18"/>
              </w:rPr>
            </w:pPr>
          </w:p>
        </w:tc>
        <w:tc>
          <w:tcPr>
            <w:tcW w:w="960" w:type="dxa"/>
            <w:tcBorders>
              <w:top w:val="nil"/>
              <w:left w:val="nil"/>
              <w:bottom w:val="nil"/>
              <w:right w:val="nil"/>
            </w:tcBorders>
            <w:shd w:val="clear" w:color="auto" w:fill="auto"/>
            <w:noWrap/>
            <w:vAlign w:val="bottom"/>
            <w:hideMark/>
          </w:tcPr>
          <w:p w:rsidR="0066671C" w:rsidRPr="006E5033" w:rsidRDefault="0066671C" w:rsidP="00E25E35">
            <w:pPr>
              <w:rPr>
                <w:color w:val="000000"/>
                <w:sz w:val="18"/>
                <w:szCs w:val="18"/>
              </w:rPr>
            </w:pPr>
          </w:p>
        </w:tc>
        <w:tc>
          <w:tcPr>
            <w:tcW w:w="960" w:type="dxa"/>
            <w:tcBorders>
              <w:top w:val="nil"/>
              <w:left w:val="nil"/>
              <w:bottom w:val="nil"/>
              <w:right w:val="nil"/>
            </w:tcBorders>
            <w:shd w:val="clear" w:color="auto" w:fill="auto"/>
            <w:noWrap/>
            <w:vAlign w:val="bottom"/>
            <w:hideMark/>
          </w:tcPr>
          <w:p w:rsidR="0066671C" w:rsidRPr="006E5033" w:rsidRDefault="0066671C" w:rsidP="00E25E35">
            <w:pPr>
              <w:rPr>
                <w:color w:val="000000"/>
                <w:sz w:val="18"/>
                <w:szCs w:val="18"/>
              </w:rPr>
            </w:pPr>
          </w:p>
        </w:tc>
      </w:tr>
      <w:tr w:rsidR="0066671C" w:rsidRPr="006E5033" w:rsidTr="0066671C">
        <w:trPr>
          <w:trHeight w:val="300"/>
        </w:trPr>
        <w:tc>
          <w:tcPr>
            <w:tcW w:w="7796" w:type="dxa"/>
            <w:tcBorders>
              <w:top w:val="nil"/>
              <w:left w:val="nil"/>
              <w:bottom w:val="nil"/>
              <w:right w:val="nil"/>
            </w:tcBorders>
            <w:shd w:val="clear" w:color="auto" w:fill="auto"/>
            <w:noWrap/>
            <w:vAlign w:val="bottom"/>
          </w:tcPr>
          <w:p w:rsidR="0066671C" w:rsidRPr="006E5033" w:rsidRDefault="0066671C" w:rsidP="00E25E35">
            <w:pPr>
              <w:rPr>
                <w:rFonts w:ascii="Calibri" w:hAnsi="Calibri"/>
                <w:color w:val="000000"/>
                <w:sz w:val="18"/>
                <w:szCs w:val="18"/>
              </w:rPr>
            </w:pPr>
          </w:p>
        </w:tc>
        <w:tc>
          <w:tcPr>
            <w:tcW w:w="2700" w:type="dxa"/>
            <w:tcBorders>
              <w:top w:val="nil"/>
              <w:left w:val="nil"/>
              <w:bottom w:val="nil"/>
              <w:right w:val="nil"/>
            </w:tcBorders>
            <w:shd w:val="clear" w:color="auto" w:fill="auto"/>
            <w:noWrap/>
            <w:vAlign w:val="bottom"/>
          </w:tcPr>
          <w:p w:rsidR="0066671C" w:rsidRPr="006E5033" w:rsidRDefault="0066671C" w:rsidP="00E25E35">
            <w:pPr>
              <w:rPr>
                <w:rFonts w:ascii="Calibri" w:hAnsi="Calibri"/>
                <w:color w:val="000000"/>
                <w:sz w:val="18"/>
                <w:szCs w:val="18"/>
              </w:rPr>
            </w:pPr>
          </w:p>
        </w:tc>
        <w:tc>
          <w:tcPr>
            <w:tcW w:w="1120" w:type="dxa"/>
            <w:tcBorders>
              <w:top w:val="nil"/>
              <w:left w:val="nil"/>
              <w:bottom w:val="nil"/>
              <w:right w:val="nil"/>
            </w:tcBorders>
            <w:shd w:val="clear" w:color="auto" w:fill="auto"/>
            <w:noWrap/>
            <w:vAlign w:val="bottom"/>
          </w:tcPr>
          <w:p w:rsidR="0066671C" w:rsidRPr="006E5033" w:rsidRDefault="0066671C" w:rsidP="00E25E35">
            <w:pPr>
              <w:jc w:val="right"/>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66671C" w:rsidRPr="006E5033" w:rsidRDefault="0066671C" w:rsidP="00E25E35">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66671C" w:rsidRPr="006E5033" w:rsidRDefault="0066671C" w:rsidP="00E25E35">
            <w:pPr>
              <w:rPr>
                <w:rFonts w:ascii="Calibri" w:hAnsi="Calibri"/>
                <w:color w:val="000000"/>
                <w:sz w:val="18"/>
                <w:szCs w:val="18"/>
              </w:rPr>
            </w:pPr>
          </w:p>
        </w:tc>
      </w:tr>
    </w:tbl>
    <w:p w:rsidR="00582617" w:rsidRPr="00582617" w:rsidRDefault="00582617" w:rsidP="001E22CC">
      <w:pPr>
        <w:tabs>
          <w:tab w:val="left" w:pos="3060"/>
          <w:tab w:val="decimal" w:pos="81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2B" w:rsidRDefault="00ED502B" w:rsidP="00195128">
      <w:r>
        <w:separator/>
      </w:r>
    </w:p>
  </w:endnote>
  <w:endnote w:type="continuationSeparator" w:id="0">
    <w:p w:rsidR="00ED502B" w:rsidRDefault="00ED502B"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2B" w:rsidRDefault="00ED502B" w:rsidP="00195128">
      <w:r>
        <w:separator/>
      </w:r>
    </w:p>
  </w:footnote>
  <w:footnote w:type="continuationSeparator" w:id="0">
    <w:p w:rsidR="00ED502B" w:rsidRDefault="00ED502B"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5B2D"/>
    <w:rsid w:val="00016FD9"/>
    <w:rsid w:val="00026335"/>
    <w:rsid w:val="00027B23"/>
    <w:rsid w:val="000336F5"/>
    <w:rsid w:val="00055D34"/>
    <w:rsid w:val="00060699"/>
    <w:rsid w:val="00065CF4"/>
    <w:rsid w:val="0006639C"/>
    <w:rsid w:val="0007065F"/>
    <w:rsid w:val="00071514"/>
    <w:rsid w:val="000759C5"/>
    <w:rsid w:val="00077959"/>
    <w:rsid w:val="000857C5"/>
    <w:rsid w:val="00091269"/>
    <w:rsid w:val="00094EA9"/>
    <w:rsid w:val="000A10E8"/>
    <w:rsid w:val="000A77DE"/>
    <w:rsid w:val="000C51DA"/>
    <w:rsid w:val="000D1C48"/>
    <w:rsid w:val="000D4D0C"/>
    <w:rsid w:val="000D70BF"/>
    <w:rsid w:val="000E0841"/>
    <w:rsid w:val="000E0FC2"/>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E22CC"/>
    <w:rsid w:val="001F7C6B"/>
    <w:rsid w:val="00203DC7"/>
    <w:rsid w:val="00207F6A"/>
    <w:rsid w:val="00216300"/>
    <w:rsid w:val="00220408"/>
    <w:rsid w:val="00223EAE"/>
    <w:rsid w:val="0024414E"/>
    <w:rsid w:val="0026507F"/>
    <w:rsid w:val="00265BDE"/>
    <w:rsid w:val="00266323"/>
    <w:rsid w:val="00270012"/>
    <w:rsid w:val="00283469"/>
    <w:rsid w:val="002874A3"/>
    <w:rsid w:val="002879A6"/>
    <w:rsid w:val="0029253F"/>
    <w:rsid w:val="00295AD9"/>
    <w:rsid w:val="00297E3F"/>
    <w:rsid w:val="002A3DE1"/>
    <w:rsid w:val="002A6388"/>
    <w:rsid w:val="002B245B"/>
    <w:rsid w:val="002B3315"/>
    <w:rsid w:val="002B5B8D"/>
    <w:rsid w:val="002C066E"/>
    <w:rsid w:val="002C0A96"/>
    <w:rsid w:val="002C10D5"/>
    <w:rsid w:val="002C282F"/>
    <w:rsid w:val="002C6099"/>
    <w:rsid w:val="002C6E0D"/>
    <w:rsid w:val="002C78C1"/>
    <w:rsid w:val="002D40EE"/>
    <w:rsid w:val="002D68A6"/>
    <w:rsid w:val="002F1343"/>
    <w:rsid w:val="002F532C"/>
    <w:rsid w:val="0030120B"/>
    <w:rsid w:val="00301B49"/>
    <w:rsid w:val="00311440"/>
    <w:rsid w:val="00322964"/>
    <w:rsid w:val="00332266"/>
    <w:rsid w:val="003376E1"/>
    <w:rsid w:val="0035012C"/>
    <w:rsid w:val="003601C1"/>
    <w:rsid w:val="003646BC"/>
    <w:rsid w:val="0037316E"/>
    <w:rsid w:val="003747DC"/>
    <w:rsid w:val="0038532C"/>
    <w:rsid w:val="0038572B"/>
    <w:rsid w:val="00387AD2"/>
    <w:rsid w:val="00391661"/>
    <w:rsid w:val="003932D3"/>
    <w:rsid w:val="0039759B"/>
    <w:rsid w:val="003C48BC"/>
    <w:rsid w:val="003D1780"/>
    <w:rsid w:val="003D253B"/>
    <w:rsid w:val="003D376A"/>
    <w:rsid w:val="003D6C20"/>
    <w:rsid w:val="003F6D68"/>
    <w:rsid w:val="004054A1"/>
    <w:rsid w:val="00410EEA"/>
    <w:rsid w:val="004161FA"/>
    <w:rsid w:val="0042550E"/>
    <w:rsid w:val="0043143D"/>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B70C1"/>
    <w:rsid w:val="004C0981"/>
    <w:rsid w:val="004C750F"/>
    <w:rsid w:val="004D1859"/>
    <w:rsid w:val="004D4FD5"/>
    <w:rsid w:val="004E43A2"/>
    <w:rsid w:val="004F49C5"/>
    <w:rsid w:val="004F7B5C"/>
    <w:rsid w:val="005117FB"/>
    <w:rsid w:val="00512891"/>
    <w:rsid w:val="005208BE"/>
    <w:rsid w:val="005247B1"/>
    <w:rsid w:val="005307F1"/>
    <w:rsid w:val="00537CAA"/>
    <w:rsid w:val="00542116"/>
    <w:rsid w:val="005436BC"/>
    <w:rsid w:val="00547373"/>
    <w:rsid w:val="0055490E"/>
    <w:rsid w:val="00561B3D"/>
    <w:rsid w:val="005705A0"/>
    <w:rsid w:val="00572CFD"/>
    <w:rsid w:val="005734E7"/>
    <w:rsid w:val="00582617"/>
    <w:rsid w:val="005852B4"/>
    <w:rsid w:val="00591D4C"/>
    <w:rsid w:val="005A3B8C"/>
    <w:rsid w:val="005C54CE"/>
    <w:rsid w:val="005D197A"/>
    <w:rsid w:val="005E3922"/>
    <w:rsid w:val="005E487D"/>
    <w:rsid w:val="005E6AFA"/>
    <w:rsid w:val="005F6347"/>
    <w:rsid w:val="00603A7E"/>
    <w:rsid w:val="00605919"/>
    <w:rsid w:val="00612978"/>
    <w:rsid w:val="00613A52"/>
    <w:rsid w:val="00626B8E"/>
    <w:rsid w:val="00627EB8"/>
    <w:rsid w:val="006332C8"/>
    <w:rsid w:val="00635B4C"/>
    <w:rsid w:val="00650E06"/>
    <w:rsid w:val="00663F09"/>
    <w:rsid w:val="00664A54"/>
    <w:rsid w:val="0066671C"/>
    <w:rsid w:val="00670DDF"/>
    <w:rsid w:val="0067141F"/>
    <w:rsid w:val="00684072"/>
    <w:rsid w:val="00687C3A"/>
    <w:rsid w:val="00690DFC"/>
    <w:rsid w:val="00694397"/>
    <w:rsid w:val="006A0BA4"/>
    <w:rsid w:val="006A64AC"/>
    <w:rsid w:val="006D2D94"/>
    <w:rsid w:val="006E34E5"/>
    <w:rsid w:val="006E5033"/>
    <w:rsid w:val="006F559F"/>
    <w:rsid w:val="00710874"/>
    <w:rsid w:val="00710D64"/>
    <w:rsid w:val="007122E5"/>
    <w:rsid w:val="007162D8"/>
    <w:rsid w:val="007171A1"/>
    <w:rsid w:val="00730705"/>
    <w:rsid w:val="00752DE2"/>
    <w:rsid w:val="0076096E"/>
    <w:rsid w:val="00766958"/>
    <w:rsid w:val="007708B3"/>
    <w:rsid w:val="00775A31"/>
    <w:rsid w:val="00775D4F"/>
    <w:rsid w:val="00780321"/>
    <w:rsid w:val="00781CF9"/>
    <w:rsid w:val="00782FFD"/>
    <w:rsid w:val="0078614B"/>
    <w:rsid w:val="0079066F"/>
    <w:rsid w:val="007A26E0"/>
    <w:rsid w:val="007A286B"/>
    <w:rsid w:val="007A6AA2"/>
    <w:rsid w:val="007B1B12"/>
    <w:rsid w:val="007B495B"/>
    <w:rsid w:val="007B4B38"/>
    <w:rsid w:val="007C0BF2"/>
    <w:rsid w:val="007D0D1C"/>
    <w:rsid w:val="007D307E"/>
    <w:rsid w:val="007D50DC"/>
    <w:rsid w:val="007D6B4A"/>
    <w:rsid w:val="007F0DB9"/>
    <w:rsid w:val="007F2542"/>
    <w:rsid w:val="007F2A38"/>
    <w:rsid w:val="007F4084"/>
    <w:rsid w:val="0080098C"/>
    <w:rsid w:val="00801AE0"/>
    <w:rsid w:val="00803497"/>
    <w:rsid w:val="00804CD4"/>
    <w:rsid w:val="008107D9"/>
    <w:rsid w:val="00812EEA"/>
    <w:rsid w:val="0081547D"/>
    <w:rsid w:val="00824BFC"/>
    <w:rsid w:val="00840EB8"/>
    <w:rsid w:val="00842B7F"/>
    <w:rsid w:val="008476E0"/>
    <w:rsid w:val="00854C1D"/>
    <w:rsid w:val="00856D6B"/>
    <w:rsid w:val="008639EE"/>
    <w:rsid w:val="00871BB8"/>
    <w:rsid w:val="00874236"/>
    <w:rsid w:val="00876E90"/>
    <w:rsid w:val="008824FE"/>
    <w:rsid w:val="0089093D"/>
    <w:rsid w:val="00890E0E"/>
    <w:rsid w:val="00897E38"/>
    <w:rsid w:val="008A33CF"/>
    <w:rsid w:val="008A667C"/>
    <w:rsid w:val="008B58E9"/>
    <w:rsid w:val="008C1F0A"/>
    <w:rsid w:val="008E7293"/>
    <w:rsid w:val="00905917"/>
    <w:rsid w:val="009079E5"/>
    <w:rsid w:val="009109FF"/>
    <w:rsid w:val="00916DB3"/>
    <w:rsid w:val="00933B28"/>
    <w:rsid w:val="00951768"/>
    <w:rsid w:val="009558F2"/>
    <w:rsid w:val="00970A4C"/>
    <w:rsid w:val="0097518D"/>
    <w:rsid w:val="0098486E"/>
    <w:rsid w:val="0098551F"/>
    <w:rsid w:val="00994620"/>
    <w:rsid w:val="00994A8D"/>
    <w:rsid w:val="009C3842"/>
    <w:rsid w:val="009C7335"/>
    <w:rsid w:val="009D0CE6"/>
    <w:rsid w:val="009D1C86"/>
    <w:rsid w:val="009E08AC"/>
    <w:rsid w:val="009E5B4D"/>
    <w:rsid w:val="009E5E85"/>
    <w:rsid w:val="009E5F3B"/>
    <w:rsid w:val="009F0012"/>
    <w:rsid w:val="009F1D5D"/>
    <w:rsid w:val="00A13842"/>
    <w:rsid w:val="00A1792B"/>
    <w:rsid w:val="00A208E9"/>
    <w:rsid w:val="00A2147E"/>
    <w:rsid w:val="00A22802"/>
    <w:rsid w:val="00A26621"/>
    <w:rsid w:val="00A441D1"/>
    <w:rsid w:val="00A45AB6"/>
    <w:rsid w:val="00A633BC"/>
    <w:rsid w:val="00A638EB"/>
    <w:rsid w:val="00A72967"/>
    <w:rsid w:val="00A76406"/>
    <w:rsid w:val="00A769A1"/>
    <w:rsid w:val="00A83E12"/>
    <w:rsid w:val="00A84202"/>
    <w:rsid w:val="00A86A11"/>
    <w:rsid w:val="00A87A7B"/>
    <w:rsid w:val="00AA01E6"/>
    <w:rsid w:val="00AA3D9A"/>
    <w:rsid w:val="00AC20B6"/>
    <w:rsid w:val="00AD062C"/>
    <w:rsid w:val="00AD1DC9"/>
    <w:rsid w:val="00AD2AEE"/>
    <w:rsid w:val="00AD5D71"/>
    <w:rsid w:val="00AD7B28"/>
    <w:rsid w:val="00AD7E22"/>
    <w:rsid w:val="00AE72C8"/>
    <w:rsid w:val="00AF7A2C"/>
    <w:rsid w:val="00B06AEC"/>
    <w:rsid w:val="00B076E8"/>
    <w:rsid w:val="00B13F5B"/>
    <w:rsid w:val="00B14517"/>
    <w:rsid w:val="00B15F84"/>
    <w:rsid w:val="00B17409"/>
    <w:rsid w:val="00B240DE"/>
    <w:rsid w:val="00B241AD"/>
    <w:rsid w:val="00B4016A"/>
    <w:rsid w:val="00B44B41"/>
    <w:rsid w:val="00B5412D"/>
    <w:rsid w:val="00B557D8"/>
    <w:rsid w:val="00B65185"/>
    <w:rsid w:val="00B72679"/>
    <w:rsid w:val="00B72F1A"/>
    <w:rsid w:val="00B732E0"/>
    <w:rsid w:val="00B805D3"/>
    <w:rsid w:val="00B81F3C"/>
    <w:rsid w:val="00B82899"/>
    <w:rsid w:val="00B87070"/>
    <w:rsid w:val="00B91440"/>
    <w:rsid w:val="00BA1F0B"/>
    <w:rsid w:val="00BA6DD4"/>
    <w:rsid w:val="00BB64D1"/>
    <w:rsid w:val="00BB6CC2"/>
    <w:rsid w:val="00BD07A7"/>
    <w:rsid w:val="00BD723F"/>
    <w:rsid w:val="00BD7880"/>
    <w:rsid w:val="00BD7D55"/>
    <w:rsid w:val="00BE4367"/>
    <w:rsid w:val="00C12A82"/>
    <w:rsid w:val="00C130AA"/>
    <w:rsid w:val="00C15A78"/>
    <w:rsid w:val="00C17DF8"/>
    <w:rsid w:val="00C217FB"/>
    <w:rsid w:val="00C310DE"/>
    <w:rsid w:val="00C36CED"/>
    <w:rsid w:val="00C41650"/>
    <w:rsid w:val="00C43198"/>
    <w:rsid w:val="00C4400E"/>
    <w:rsid w:val="00C51D8E"/>
    <w:rsid w:val="00C522FF"/>
    <w:rsid w:val="00C531DB"/>
    <w:rsid w:val="00C54373"/>
    <w:rsid w:val="00C73537"/>
    <w:rsid w:val="00C77823"/>
    <w:rsid w:val="00C85009"/>
    <w:rsid w:val="00C87B2C"/>
    <w:rsid w:val="00C95FE9"/>
    <w:rsid w:val="00CA237F"/>
    <w:rsid w:val="00CA4446"/>
    <w:rsid w:val="00CA594C"/>
    <w:rsid w:val="00CA5B0C"/>
    <w:rsid w:val="00CB1B75"/>
    <w:rsid w:val="00CB4750"/>
    <w:rsid w:val="00CC14DD"/>
    <w:rsid w:val="00CC27BB"/>
    <w:rsid w:val="00CD76B1"/>
    <w:rsid w:val="00CE6F70"/>
    <w:rsid w:val="00D01889"/>
    <w:rsid w:val="00D11929"/>
    <w:rsid w:val="00D17B52"/>
    <w:rsid w:val="00D36F47"/>
    <w:rsid w:val="00D4270B"/>
    <w:rsid w:val="00D6307D"/>
    <w:rsid w:val="00D6630D"/>
    <w:rsid w:val="00D71B02"/>
    <w:rsid w:val="00D83E7A"/>
    <w:rsid w:val="00D86908"/>
    <w:rsid w:val="00D86B13"/>
    <w:rsid w:val="00D87E68"/>
    <w:rsid w:val="00D94A86"/>
    <w:rsid w:val="00D97A0F"/>
    <w:rsid w:val="00D97D27"/>
    <w:rsid w:val="00DC2D5B"/>
    <w:rsid w:val="00DC7988"/>
    <w:rsid w:val="00DD0149"/>
    <w:rsid w:val="00DD7740"/>
    <w:rsid w:val="00DE34BA"/>
    <w:rsid w:val="00DE5214"/>
    <w:rsid w:val="00DE7B3C"/>
    <w:rsid w:val="00E1251E"/>
    <w:rsid w:val="00E25E35"/>
    <w:rsid w:val="00E261F9"/>
    <w:rsid w:val="00E27491"/>
    <w:rsid w:val="00E346BE"/>
    <w:rsid w:val="00E566DC"/>
    <w:rsid w:val="00E56A6F"/>
    <w:rsid w:val="00E65439"/>
    <w:rsid w:val="00E8071C"/>
    <w:rsid w:val="00E85E94"/>
    <w:rsid w:val="00E87FE4"/>
    <w:rsid w:val="00E918D0"/>
    <w:rsid w:val="00EA1665"/>
    <w:rsid w:val="00EB2CDF"/>
    <w:rsid w:val="00EB59FB"/>
    <w:rsid w:val="00ED0DCA"/>
    <w:rsid w:val="00ED1708"/>
    <w:rsid w:val="00ED1CC5"/>
    <w:rsid w:val="00ED502B"/>
    <w:rsid w:val="00EE74F8"/>
    <w:rsid w:val="00EF3E41"/>
    <w:rsid w:val="00F03DA4"/>
    <w:rsid w:val="00F05145"/>
    <w:rsid w:val="00F06C5B"/>
    <w:rsid w:val="00F11A12"/>
    <w:rsid w:val="00F14686"/>
    <w:rsid w:val="00F17695"/>
    <w:rsid w:val="00F2132D"/>
    <w:rsid w:val="00F233A1"/>
    <w:rsid w:val="00F257D1"/>
    <w:rsid w:val="00F43687"/>
    <w:rsid w:val="00F45D7D"/>
    <w:rsid w:val="00F5215A"/>
    <w:rsid w:val="00F5256F"/>
    <w:rsid w:val="00F535D7"/>
    <w:rsid w:val="00F653EE"/>
    <w:rsid w:val="00F65E60"/>
    <w:rsid w:val="00F76EB8"/>
    <w:rsid w:val="00F83643"/>
    <w:rsid w:val="00F83979"/>
    <w:rsid w:val="00F8533E"/>
    <w:rsid w:val="00F87897"/>
    <w:rsid w:val="00FA6696"/>
    <w:rsid w:val="00FB2C92"/>
    <w:rsid w:val="00FC1147"/>
    <w:rsid w:val="00FC1A71"/>
    <w:rsid w:val="00FC2729"/>
    <w:rsid w:val="00FC3424"/>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94A86"/>
    <w:rPr>
      <w:rFonts w:ascii="Tahoma" w:hAnsi="Tahoma" w:cs="Tahoma"/>
      <w:sz w:val="16"/>
      <w:szCs w:val="16"/>
    </w:rPr>
  </w:style>
  <w:style w:type="character" w:customStyle="1" w:styleId="BalloonTextChar">
    <w:name w:val="Balloon Text Char"/>
    <w:basedOn w:val="DefaultParagraphFont"/>
    <w:link w:val="BalloonText"/>
    <w:uiPriority w:val="99"/>
    <w:semiHidden/>
    <w:rsid w:val="00D94A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94A86"/>
    <w:rPr>
      <w:rFonts w:ascii="Tahoma" w:hAnsi="Tahoma" w:cs="Tahoma"/>
      <w:sz w:val="16"/>
      <w:szCs w:val="16"/>
    </w:rPr>
  </w:style>
  <w:style w:type="character" w:customStyle="1" w:styleId="BalloonTextChar">
    <w:name w:val="Balloon Text Char"/>
    <w:basedOn w:val="DefaultParagraphFont"/>
    <w:link w:val="BalloonText"/>
    <w:uiPriority w:val="99"/>
    <w:semiHidden/>
    <w:rsid w:val="00D94A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708144338">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4584-B9AE-436E-88BD-5B96B272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25</cp:revision>
  <cp:lastPrinted>2017-02-21T14:26:00Z</cp:lastPrinted>
  <dcterms:created xsi:type="dcterms:W3CDTF">2017-02-21T13:39:00Z</dcterms:created>
  <dcterms:modified xsi:type="dcterms:W3CDTF">2017-02-21T14:49:00Z</dcterms:modified>
</cp:coreProperties>
</file>